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952"/>
        <w:gridCol w:w="2952"/>
      </w:tblGrid>
      <w:tr w:rsidR="00E54BCF" w:rsidTr="00E54BCF">
        <w:tc>
          <w:tcPr>
            <w:tcW w:w="2952" w:type="dxa"/>
          </w:tcPr>
          <w:p w:rsidR="00E54BCF" w:rsidRDefault="00E54BCF" w:rsidP="00F20DD4">
            <w:pPr>
              <w:pStyle w:val="PlainText"/>
              <w:jc w:val="center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952" w:type="dxa"/>
          </w:tcPr>
          <w:p w:rsidR="00E54BCF" w:rsidRDefault="00E54BCF" w:rsidP="00F20DD4">
            <w:pPr>
              <w:pStyle w:val="PlainText"/>
              <w:jc w:val="center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  <w:r w:rsidRPr="00E54BCF">
              <w:rPr>
                <w:rFonts w:ascii="Calibri" w:hAnsi="Calibr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1352550" cy="1062426"/>
                  <wp:effectExtent l="19050" t="0" r="0" b="0"/>
                  <wp:docPr id="3" name="Picture 0" descr="08 GY Tourism Authority Logo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 GY Tourism Authority Logo 20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21" cy="107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E54BCF" w:rsidRDefault="00E54BCF" w:rsidP="00E54BCF">
            <w:pPr>
              <w:pStyle w:val="PlainText"/>
              <w:jc w:val="right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</w:p>
        </w:tc>
      </w:tr>
    </w:tbl>
    <w:p w:rsidR="00F20DD4" w:rsidRDefault="00F20DD4" w:rsidP="00F20DD4">
      <w:pPr>
        <w:pStyle w:val="PlainText"/>
        <w:rPr>
          <w:rFonts w:ascii="Calibri" w:hAnsi="Calibri"/>
          <w:b/>
          <w:bCs/>
          <w:sz w:val="32"/>
          <w:szCs w:val="32"/>
          <w:lang w:val="en-GB"/>
        </w:rPr>
      </w:pPr>
    </w:p>
    <w:p w:rsidR="00F20DD4" w:rsidRDefault="00141CCB" w:rsidP="00141CCB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 xml:space="preserve">Minutes of the </w:t>
      </w:r>
      <w:r w:rsidR="00F20DD4">
        <w:rPr>
          <w:rFonts w:ascii="Calibri" w:hAnsi="Calibri"/>
          <w:b/>
          <w:bCs/>
          <w:sz w:val="32"/>
          <w:szCs w:val="32"/>
          <w:lang w:val="en-GB"/>
        </w:rPr>
        <w:t xml:space="preserve">BID BOARD </w:t>
      </w:r>
      <w:r>
        <w:rPr>
          <w:rFonts w:ascii="Calibri" w:hAnsi="Calibri"/>
          <w:b/>
          <w:bCs/>
          <w:sz w:val="32"/>
          <w:szCs w:val="32"/>
          <w:lang w:val="en-GB"/>
        </w:rPr>
        <w:t>held on</w:t>
      </w:r>
      <w:r w:rsidR="00F20DD4">
        <w:rPr>
          <w:rFonts w:ascii="Calibri" w:hAnsi="Calibri"/>
          <w:b/>
          <w:bCs/>
          <w:sz w:val="32"/>
          <w:szCs w:val="32"/>
          <w:lang w:val="en-GB"/>
        </w:rPr>
        <w:t xml:space="preserve"> </w:t>
      </w:r>
      <w:r w:rsidR="000D4850">
        <w:rPr>
          <w:rFonts w:ascii="Calibri" w:hAnsi="Calibri"/>
          <w:b/>
          <w:bCs/>
          <w:sz w:val="32"/>
          <w:szCs w:val="32"/>
          <w:lang w:val="en-GB"/>
        </w:rPr>
        <w:t>29</w:t>
      </w:r>
      <w:r w:rsidR="000D4850" w:rsidRPr="000D4850">
        <w:rPr>
          <w:rFonts w:ascii="Calibri" w:hAnsi="Calibri"/>
          <w:b/>
          <w:bCs/>
          <w:sz w:val="32"/>
          <w:szCs w:val="32"/>
          <w:vertAlign w:val="superscript"/>
          <w:lang w:val="en-GB"/>
        </w:rPr>
        <w:t>th</w:t>
      </w:r>
      <w:r w:rsidR="000D4850">
        <w:rPr>
          <w:rFonts w:ascii="Calibri" w:hAnsi="Calibri"/>
          <w:b/>
          <w:bCs/>
          <w:sz w:val="32"/>
          <w:szCs w:val="32"/>
          <w:lang w:val="en-GB"/>
        </w:rPr>
        <w:t xml:space="preserve"> January 2015 at 10.30am</w:t>
      </w:r>
    </w:p>
    <w:p w:rsidR="00F20DD4" w:rsidRDefault="00141CCB" w:rsidP="00141CCB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 xml:space="preserve">At </w:t>
      </w:r>
      <w:r w:rsidR="00F20DD4">
        <w:rPr>
          <w:rFonts w:ascii="Calibri" w:hAnsi="Calibri"/>
          <w:b/>
          <w:bCs/>
          <w:sz w:val="32"/>
          <w:szCs w:val="32"/>
          <w:lang w:val="en-GB"/>
        </w:rPr>
        <w:t>Maritime House</w:t>
      </w:r>
      <w:r>
        <w:rPr>
          <w:rFonts w:ascii="Calibri" w:hAnsi="Calibri"/>
          <w:b/>
          <w:bCs/>
          <w:sz w:val="32"/>
          <w:szCs w:val="32"/>
          <w:lang w:val="en-GB"/>
        </w:rPr>
        <w:t>, Great Yarmouth</w:t>
      </w:r>
    </w:p>
    <w:p w:rsidR="000B137F" w:rsidRDefault="00F20DD4" w:rsidP="00795271">
      <w:pPr>
        <w:pStyle w:val="PlainText"/>
        <w:rPr>
          <w:rFonts w:ascii="Calibri" w:hAnsi="Calibri"/>
          <w:b/>
          <w:bCs/>
          <w:sz w:val="24"/>
          <w:szCs w:val="24"/>
          <w:lang w:val="en-GB"/>
        </w:rPr>
      </w:pPr>
      <w:r w:rsidRPr="00A47F80">
        <w:rPr>
          <w:rFonts w:ascii="Calibri" w:hAnsi="Calibri"/>
          <w:b/>
          <w:bCs/>
          <w:sz w:val="24"/>
          <w:szCs w:val="24"/>
          <w:lang w:val="en-GB"/>
        </w:rPr>
        <w:t>Present :</w:t>
      </w:r>
      <w:r w:rsidRPr="00A47F80">
        <w:rPr>
          <w:rFonts w:ascii="Calibri" w:hAnsi="Calibri"/>
          <w:b/>
          <w:bCs/>
          <w:sz w:val="24"/>
          <w:szCs w:val="24"/>
          <w:lang w:val="en-GB"/>
        </w:rPr>
        <w:tab/>
      </w:r>
      <w:r w:rsidRPr="00A47F80">
        <w:rPr>
          <w:rFonts w:ascii="Calibri" w:hAnsi="Calibri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David Marsh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Alan Carr</w:t>
            </w:r>
          </w:p>
        </w:tc>
        <w:tc>
          <w:tcPr>
            <w:tcW w:w="2952" w:type="dxa"/>
          </w:tcPr>
          <w:p w:rsidR="000B137F" w:rsidRPr="000B137F" w:rsidRDefault="00AF688D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Gareth Brown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Terri Harris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Amy Woodyatt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Ken Sims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Kirsty Burn</w:t>
            </w:r>
          </w:p>
        </w:tc>
        <w:tc>
          <w:tcPr>
            <w:tcW w:w="2952" w:type="dxa"/>
          </w:tcPr>
          <w:p w:rsidR="000B137F" w:rsidRPr="000B137F" w:rsidRDefault="00AF688D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James Gra</w:t>
            </w:r>
            <w:r w:rsidR="000B137F"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Lyndon Bevan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Jane Reynolds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Cllr Brian Walker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Cllr Michael Jeal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Jonathan Newman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Tony Smith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Peter Jay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Cllr Bert Collins</w:t>
            </w:r>
            <w:r w:rsidR="00FC7603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(Hon Pres)</w:t>
            </w:r>
          </w:p>
        </w:tc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Cllr Sue Hacon</w:t>
            </w:r>
          </w:p>
        </w:tc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Karen Youngs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Oliver Hurren</w:t>
            </w:r>
          </w:p>
        </w:tc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Kevin Huggins</w:t>
            </w:r>
          </w:p>
        </w:tc>
        <w:tc>
          <w:tcPr>
            <w:tcW w:w="2952" w:type="dxa"/>
          </w:tcPr>
          <w:p w:rsidR="000B137F" w:rsidRDefault="00AF688D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Toni Reeve</w:t>
            </w:r>
          </w:p>
        </w:tc>
      </w:tr>
      <w:tr w:rsidR="00AF688D" w:rsidRPr="000B137F" w:rsidTr="000B137F">
        <w:tc>
          <w:tcPr>
            <w:tcW w:w="2952" w:type="dxa"/>
          </w:tcPr>
          <w:p w:rsidR="00AF688D" w:rsidRDefault="00AF688D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Cllr Barry Coleman</w:t>
            </w:r>
          </w:p>
        </w:tc>
        <w:tc>
          <w:tcPr>
            <w:tcW w:w="2952" w:type="dxa"/>
          </w:tcPr>
          <w:p w:rsidR="00AF688D" w:rsidRDefault="00AF688D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Linda Dyble</w:t>
            </w:r>
          </w:p>
        </w:tc>
        <w:tc>
          <w:tcPr>
            <w:tcW w:w="2952" w:type="dxa"/>
          </w:tcPr>
          <w:p w:rsidR="00AF688D" w:rsidRDefault="00AF688D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Albert Jones</w:t>
            </w:r>
          </w:p>
        </w:tc>
      </w:tr>
    </w:tbl>
    <w:p w:rsidR="000B137F" w:rsidRDefault="000B137F" w:rsidP="00795271">
      <w:pPr>
        <w:pStyle w:val="PlainText"/>
        <w:rPr>
          <w:rFonts w:ascii="Calibri" w:hAnsi="Calibri"/>
          <w:b/>
          <w:bCs/>
          <w:sz w:val="24"/>
          <w:szCs w:val="24"/>
          <w:lang w:val="en-GB"/>
        </w:rPr>
      </w:pPr>
    </w:p>
    <w:p w:rsidR="00C05945" w:rsidRPr="002C3C74" w:rsidRDefault="00C05945" w:rsidP="00795271">
      <w:pPr>
        <w:pStyle w:val="PlainText"/>
        <w:ind w:left="1440" w:firstLine="720"/>
        <w:rPr>
          <w:rFonts w:ascii="Calibri" w:hAnsi="Calibri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642"/>
        <w:gridCol w:w="7754"/>
      </w:tblGrid>
      <w:tr w:rsidR="002C3C74" w:rsidRPr="000B137F" w:rsidTr="000B137F">
        <w:tc>
          <w:tcPr>
            <w:tcW w:w="460" w:type="dxa"/>
          </w:tcPr>
          <w:p w:rsidR="002C3C74" w:rsidRPr="000B137F" w:rsidRDefault="00C0594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</w:t>
            </w:r>
          </w:p>
        </w:tc>
        <w:tc>
          <w:tcPr>
            <w:tcW w:w="642" w:type="dxa"/>
          </w:tcPr>
          <w:p w:rsidR="002C3C74" w:rsidRPr="000B137F" w:rsidRDefault="002C3C74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2C3C74" w:rsidRPr="000B137F" w:rsidRDefault="002C3C74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  <w:t>Welcome</w:t>
            </w:r>
          </w:p>
        </w:tc>
      </w:tr>
      <w:tr w:rsidR="002C3C74" w:rsidRPr="00C05945" w:rsidTr="000B137F">
        <w:tc>
          <w:tcPr>
            <w:tcW w:w="460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2C3C74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1.1</w:t>
            </w:r>
          </w:p>
        </w:tc>
        <w:tc>
          <w:tcPr>
            <w:tcW w:w="7754" w:type="dxa"/>
          </w:tcPr>
          <w:p w:rsidR="002C3C74" w:rsidRPr="00C05945" w:rsidRDefault="00AF688D" w:rsidP="00AF688D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Welcome was given to Cllr Barry Coleman as the new r</w:t>
            </w:r>
            <w:r w:rsidR="009F56C5">
              <w:rPr>
                <w:rFonts w:ascii="Calibri" w:hAnsi="Calibri"/>
                <w:sz w:val="24"/>
                <w:szCs w:val="24"/>
                <w:lang w:val="en-GB"/>
              </w:rPr>
              <w:t>epresentative</w:t>
            </w:r>
            <w:r w:rsidR="00C05945">
              <w:rPr>
                <w:rFonts w:ascii="Calibri" w:hAnsi="Calibri"/>
                <w:sz w:val="24"/>
                <w:szCs w:val="24"/>
                <w:lang w:val="en-GB"/>
              </w:rPr>
              <w:t xml:space="preserve"> from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the Conservative party and Cllr Sue Hacon from UKIP</w:t>
            </w:r>
            <w:r w:rsidR="00C05945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132A3E" w:rsidRPr="000B137F" w:rsidTr="000B137F">
        <w:tc>
          <w:tcPr>
            <w:tcW w:w="460" w:type="dxa"/>
          </w:tcPr>
          <w:p w:rsidR="00132A3E" w:rsidRDefault="00132A3E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132A3E" w:rsidRPr="000B137F" w:rsidRDefault="00132A3E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132A3E" w:rsidRPr="000B137F" w:rsidRDefault="00132A3E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</w:pPr>
          </w:p>
        </w:tc>
      </w:tr>
      <w:tr w:rsidR="00C05945" w:rsidRPr="000B137F" w:rsidTr="000B137F">
        <w:tc>
          <w:tcPr>
            <w:tcW w:w="460" w:type="dxa"/>
          </w:tcPr>
          <w:p w:rsidR="00C05945" w:rsidRPr="000B137F" w:rsidRDefault="009F56C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2</w:t>
            </w:r>
          </w:p>
        </w:tc>
        <w:tc>
          <w:tcPr>
            <w:tcW w:w="642" w:type="dxa"/>
          </w:tcPr>
          <w:p w:rsidR="00C05945" w:rsidRPr="000B137F" w:rsidRDefault="00C0594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0B137F" w:rsidRDefault="00C0594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  <w:t>Apologies for absence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Pr="00C05945" w:rsidRDefault="00132A3E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2</w:t>
            </w:r>
            <w:r w:rsidR="00C05945">
              <w:rPr>
                <w:rFonts w:ascii="Calibri" w:hAnsi="Calibri"/>
                <w:bCs/>
                <w:sz w:val="24"/>
                <w:szCs w:val="32"/>
                <w:lang w:val="en-GB"/>
              </w:rPr>
              <w:t>.1</w:t>
            </w:r>
          </w:p>
        </w:tc>
        <w:tc>
          <w:tcPr>
            <w:tcW w:w="7754" w:type="dxa"/>
          </w:tcPr>
          <w:p w:rsidR="00C05945" w:rsidRPr="00C05945" w:rsidRDefault="00C05945" w:rsidP="00FA5C04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 xml:space="preserve">Apologies were received from </w:t>
            </w:r>
            <w:r w:rsidR="00FA5C04">
              <w:rPr>
                <w:rFonts w:ascii="Calibri" w:hAnsi="Calibri"/>
                <w:sz w:val="24"/>
                <w:szCs w:val="24"/>
                <w:lang w:val="en-GB"/>
              </w:rPr>
              <w:t xml:space="preserve">Malcolm Bird and </w:t>
            </w:r>
            <w:r w:rsidR="00AF688D">
              <w:rPr>
                <w:rFonts w:ascii="Calibri" w:hAnsi="Calibri"/>
                <w:sz w:val="24"/>
                <w:szCs w:val="24"/>
                <w:lang w:val="en-GB"/>
              </w:rPr>
              <w:t>Andrew Bowyer</w:t>
            </w:r>
            <w:r w:rsidR="00FA5C04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</w:tc>
      </w:tr>
      <w:tr w:rsidR="000A085C" w:rsidRPr="00C05945" w:rsidTr="000B137F">
        <w:tc>
          <w:tcPr>
            <w:tcW w:w="460" w:type="dxa"/>
          </w:tcPr>
          <w:p w:rsidR="000A085C" w:rsidRDefault="000A085C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A085C" w:rsidRDefault="00132A3E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2</w:t>
            </w:r>
            <w:r w:rsidR="000A085C">
              <w:rPr>
                <w:rFonts w:ascii="Calibri" w:hAnsi="Calibri"/>
                <w:bCs/>
                <w:sz w:val="24"/>
                <w:szCs w:val="32"/>
                <w:lang w:val="en-GB"/>
              </w:rPr>
              <w:t>.2</w:t>
            </w:r>
          </w:p>
        </w:tc>
        <w:tc>
          <w:tcPr>
            <w:tcW w:w="7754" w:type="dxa"/>
          </w:tcPr>
          <w:p w:rsidR="000A085C" w:rsidRDefault="000A085C" w:rsidP="00125168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It was noted that a celebration of the life of Brian Potter was due to be held at Potters resort on Wednesday 4</w:t>
            </w:r>
            <w:r w:rsidRPr="000A085C">
              <w:rPr>
                <w:rFonts w:ascii="Calibri" w:hAnsi="Calibri"/>
                <w:bCs/>
                <w:sz w:val="24"/>
                <w:szCs w:val="3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 xml:space="preserve"> February.  If anyone wanted to attend </w:t>
            </w:r>
            <w:r w:rsidR="00125168">
              <w:rPr>
                <w:rFonts w:ascii="Calibri" w:hAnsi="Calibri"/>
                <w:bCs/>
                <w:sz w:val="24"/>
                <w:szCs w:val="32"/>
                <w:lang w:val="en-GB"/>
              </w:rPr>
              <w:t>to</w:t>
            </w: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 xml:space="preserve"> register on the Potters website.</w:t>
            </w:r>
          </w:p>
        </w:tc>
      </w:tr>
      <w:tr w:rsidR="00132A3E" w:rsidRPr="00C05945" w:rsidTr="000B137F">
        <w:tc>
          <w:tcPr>
            <w:tcW w:w="460" w:type="dxa"/>
          </w:tcPr>
          <w:p w:rsidR="00132A3E" w:rsidRDefault="00132A3E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132A3E" w:rsidRDefault="00132A3E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132A3E" w:rsidRDefault="00132A3E" w:rsidP="00AF688D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C05945" w:rsidRPr="00C05945" w:rsidTr="000B137F">
        <w:tc>
          <w:tcPr>
            <w:tcW w:w="460" w:type="dxa"/>
          </w:tcPr>
          <w:p w:rsidR="00C05945" w:rsidRPr="00132A3E" w:rsidRDefault="009F56C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132A3E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3</w:t>
            </w: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0B137F" w:rsidRDefault="00C05945" w:rsidP="00AF688D">
            <w:pPr>
              <w:pStyle w:val="PlainText"/>
              <w:rPr>
                <w:rFonts w:ascii="Calibri" w:hAnsi="Calibri"/>
                <w:bCs/>
                <w:sz w:val="24"/>
                <w:szCs w:val="32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 xml:space="preserve">GYTBIA Board of </w:t>
            </w:r>
            <w:r w:rsidR="00AF688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26</w:t>
            </w:r>
            <w:r w:rsidR="00AF688D" w:rsidRPr="00AF688D">
              <w:rPr>
                <w:rFonts w:ascii="Calibri" w:hAnsi="Calibri"/>
                <w:b/>
                <w:bCs/>
                <w:sz w:val="24"/>
                <w:szCs w:val="24"/>
                <w:u w:val="single"/>
                <w:vertAlign w:val="superscript"/>
                <w:lang w:val="en-GB"/>
              </w:rPr>
              <w:t>th</w:t>
            </w:r>
            <w:r w:rsidR="00AF688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 xml:space="preserve"> November</w:t>
            </w: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 xml:space="preserve"> notes and matters arising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132A3E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3</w:t>
            </w:r>
            <w:r w:rsidR="00415E9B">
              <w:rPr>
                <w:rFonts w:ascii="Calibri" w:hAnsi="Calibri"/>
                <w:bCs/>
                <w:sz w:val="24"/>
                <w:szCs w:val="32"/>
                <w:lang w:val="en-GB"/>
              </w:rPr>
              <w:t>.1</w:t>
            </w:r>
          </w:p>
        </w:tc>
        <w:tc>
          <w:tcPr>
            <w:tcW w:w="7754" w:type="dxa"/>
          </w:tcPr>
          <w:p w:rsidR="00C05945" w:rsidRPr="009157C4" w:rsidRDefault="00AF688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</w:t>
            </w:r>
            <w:r w:rsidR="00C05945">
              <w:rPr>
                <w:rFonts w:ascii="Calibri" w:hAnsi="Calibri"/>
                <w:bCs/>
                <w:sz w:val="24"/>
                <w:szCs w:val="24"/>
                <w:lang w:val="en-GB"/>
              </w:rPr>
              <w:t>he minutes were agreed as a true and accurate record.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132A3E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3</w:t>
            </w:r>
            <w:r w:rsidR="00415E9B">
              <w:rPr>
                <w:rFonts w:ascii="Calibri" w:hAnsi="Calibri"/>
                <w:bCs/>
                <w:sz w:val="24"/>
                <w:szCs w:val="32"/>
                <w:lang w:val="en-GB"/>
              </w:rPr>
              <w:t>.2</w:t>
            </w:r>
          </w:p>
        </w:tc>
        <w:tc>
          <w:tcPr>
            <w:tcW w:w="7754" w:type="dxa"/>
          </w:tcPr>
          <w:p w:rsidR="00415E9B" w:rsidRPr="002C3C74" w:rsidRDefault="00415E9B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The Brochure &amp; BID company launch wer</w:t>
            </w:r>
            <w:r w:rsidR="00132A3E">
              <w:rPr>
                <w:rFonts w:ascii="Calibri" w:hAnsi="Calibri"/>
                <w:bCs/>
                <w:sz w:val="24"/>
                <w:szCs w:val="24"/>
                <w:lang w:val="en-GB"/>
              </w:rPr>
              <w:t>e very successful and thanks were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given to the Boathouse for their generous sponsorship of the event.</w:t>
            </w:r>
          </w:p>
        </w:tc>
      </w:tr>
      <w:tr w:rsidR="00415E9B" w:rsidRPr="00C05945" w:rsidTr="000B137F">
        <w:tc>
          <w:tcPr>
            <w:tcW w:w="460" w:type="dxa"/>
          </w:tcPr>
          <w:p w:rsidR="00415E9B" w:rsidRDefault="00415E9B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415E9B" w:rsidRDefault="00132A3E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3</w:t>
            </w:r>
            <w:r w:rsidR="00415E9B">
              <w:rPr>
                <w:rFonts w:ascii="Calibri" w:hAnsi="Calibri"/>
                <w:bCs/>
                <w:sz w:val="24"/>
                <w:szCs w:val="32"/>
                <w:lang w:val="en-GB"/>
              </w:rPr>
              <w:t>.3</w:t>
            </w:r>
          </w:p>
        </w:tc>
        <w:tc>
          <w:tcPr>
            <w:tcW w:w="7754" w:type="dxa"/>
          </w:tcPr>
          <w:p w:rsidR="00415E9B" w:rsidRPr="00415E9B" w:rsidRDefault="00415E9B" w:rsidP="00FA5C0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415E9B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Apologies were given for the fact that the meeting was deferred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this was </w:t>
            </w:r>
            <w:r w:rsidRPr="00415E9B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due to the </w:t>
            </w:r>
            <w:r w:rsidR="000D4850" w:rsidRPr="00415E9B">
              <w:rPr>
                <w:rFonts w:ascii="Calibri" w:hAnsi="Calibri"/>
                <w:bCs/>
                <w:sz w:val="24"/>
                <w:szCs w:val="24"/>
                <w:lang w:val="en-GB"/>
              </w:rPr>
              <w:t>independent</w:t>
            </w:r>
            <w:r w:rsidRPr="00415E9B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report </w:t>
            </w:r>
            <w:proofErr w:type="spellStart"/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>pn</w:t>
            </w:r>
            <w:proofErr w:type="spellEnd"/>
            <w:r w:rsidRPr="00415E9B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the BID commissioned by GYBC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(see BID Update below).</w:t>
            </w:r>
          </w:p>
        </w:tc>
      </w:tr>
      <w:tr w:rsidR="00714D1D" w:rsidRPr="00C05945" w:rsidTr="000B137F">
        <w:tc>
          <w:tcPr>
            <w:tcW w:w="460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714D1D" w:rsidRPr="00C05945" w:rsidTr="000B137F">
        <w:tc>
          <w:tcPr>
            <w:tcW w:w="460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4</w:t>
            </w:r>
          </w:p>
        </w:tc>
        <w:tc>
          <w:tcPr>
            <w:tcW w:w="642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Matters Arising</w:t>
            </w:r>
          </w:p>
        </w:tc>
      </w:tr>
      <w:tr w:rsidR="00FA5C04" w:rsidRPr="00FA5C04" w:rsidTr="000B137F">
        <w:tc>
          <w:tcPr>
            <w:tcW w:w="460" w:type="dxa"/>
          </w:tcPr>
          <w:p w:rsidR="00FA5C04" w:rsidRPr="00FA5C04" w:rsidRDefault="00FA5C0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FA5C04" w:rsidRPr="00FA5C04" w:rsidRDefault="00FA5C0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FA5C04" w:rsidRPr="00FA5C04" w:rsidRDefault="00FA5C04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FA5C04">
              <w:rPr>
                <w:rFonts w:ascii="Calibri" w:hAnsi="Calibri"/>
                <w:bCs/>
                <w:sz w:val="24"/>
                <w:szCs w:val="24"/>
                <w:lang w:val="en-GB"/>
              </w:rPr>
              <w:t>There were no matters arising</w:t>
            </w:r>
          </w:p>
        </w:tc>
      </w:tr>
      <w:tr w:rsidR="00714D1D" w:rsidRPr="00C05945" w:rsidTr="000B137F">
        <w:tc>
          <w:tcPr>
            <w:tcW w:w="460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714D1D" w:rsidRDefault="00714D1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C05945" w:rsidRPr="00C05945" w:rsidTr="000B137F">
        <w:tc>
          <w:tcPr>
            <w:tcW w:w="460" w:type="dxa"/>
          </w:tcPr>
          <w:p w:rsidR="00C05945" w:rsidRPr="00132A3E" w:rsidRDefault="00714D1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5</w:t>
            </w: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0B137F" w:rsidRDefault="00415E9B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BID Update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714D1D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</w:t>
            </w:r>
            <w:r w:rsidR="00C05945">
              <w:rPr>
                <w:rFonts w:ascii="Calibri" w:hAnsi="Calibri"/>
                <w:bCs/>
                <w:sz w:val="24"/>
                <w:szCs w:val="32"/>
                <w:lang w:val="en-GB"/>
              </w:rPr>
              <w:t>.1</w:t>
            </w:r>
          </w:p>
        </w:tc>
        <w:tc>
          <w:tcPr>
            <w:tcW w:w="7754" w:type="dxa"/>
          </w:tcPr>
          <w:p w:rsidR="00C05945" w:rsidRPr="00C05945" w:rsidRDefault="000A085C" w:rsidP="005212ED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As a result of a meeting held on Regent Road by business owners with Cllr Jeal, Cllr Wainwright and David Marsh in attendance and a subsequent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lastRenderedPageBreak/>
              <w:t>appeal from the group</w:t>
            </w:r>
            <w:r w:rsidR="00613B8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,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>GYBC</w:t>
            </w:r>
            <w:r w:rsidR="00132A3E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had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commissioned a report to investigate that all due process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had been carried out 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>in respect of the BID</w:t>
            </w:r>
            <w:r w:rsidR="00613B8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.  GYBC 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concluded that they </w:t>
            </w:r>
            <w:r w:rsidR="00613B8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were satisfied that all protocols had been achieved and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>the</w:t>
            </w:r>
            <w:r w:rsidR="00613B8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collection of the levy would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>re-</w:t>
            </w:r>
            <w:r w:rsidR="00613B89">
              <w:rPr>
                <w:rFonts w:ascii="Calibri" w:hAnsi="Calibri"/>
                <w:bCs/>
                <w:sz w:val="24"/>
                <w:szCs w:val="24"/>
                <w:lang w:val="en-GB"/>
              </w:rPr>
              <w:t>commence Friday 30</w:t>
            </w:r>
            <w:r w:rsidR="00613B89" w:rsidRPr="00613B89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="00613B8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January.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5.2</w:t>
            </w:r>
          </w:p>
        </w:tc>
        <w:tc>
          <w:tcPr>
            <w:tcW w:w="7754" w:type="dxa"/>
          </w:tcPr>
          <w:p w:rsidR="00C05945" w:rsidRDefault="00613B89" w:rsidP="00613B89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David Marsh gave thanks to Alan Carr, Kirsty Burn &amp; Karen Youngs for their hard work on the BID</w:t>
            </w:r>
            <w:r w:rsidR="00C05945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 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5.3</w:t>
            </w:r>
          </w:p>
        </w:tc>
        <w:tc>
          <w:tcPr>
            <w:tcW w:w="7754" w:type="dxa"/>
          </w:tcPr>
          <w:p w:rsidR="00C05945" w:rsidRDefault="00613B89" w:rsidP="00FA5C0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A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further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meeting will be held with 6 of the main protagonists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at the Town Hall. 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David Marsh, Cllr Wainwright, Gordon Mitchell and Cllr Jeal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>and Alan Carr invited to attend.  Other directors offered the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>ir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presence if required.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5.4</w:t>
            </w:r>
          </w:p>
        </w:tc>
        <w:tc>
          <w:tcPr>
            <w:tcW w:w="7754" w:type="dxa"/>
          </w:tcPr>
          <w:p w:rsidR="00C05945" w:rsidRDefault="00613B89" w:rsidP="00FA5C0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David Marsh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>agreed to draft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a press release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explaining the progress on the BID and BID projects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and asked if the Board were happy to put their names to it.  All agreed.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613B89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5.5</w:t>
            </w:r>
          </w:p>
        </w:tc>
        <w:tc>
          <w:tcPr>
            <w:tcW w:w="7754" w:type="dxa"/>
          </w:tcPr>
          <w:p w:rsidR="00C05945" w:rsidRDefault="00613B89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Tony Smith gave thanks to David Marsh for all his hard work on the BID</w:t>
            </w:r>
          </w:p>
        </w:tc>
      </w:tr>
      <w:tr w:rsidR="00613B89" w:rsidRPr="00C05945" w:rsidTr="000B137F">
        <w:tc>
          <w:tcPr>
            <w:tcW w:w="460" w:type="dxa"/>
          </w:tcPr>
          <w:p w:rsidR="00613B89" w:rsidRDefault="00613B89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13B89" w:rsidRDefault="00613B89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</w:t>
            </w:r>
            <w:r w:rsidR="005212ED">
              <w:rPr>
                <w:rFonts w:ascii="Calibri" w:hAnsi="Calibri"/>
                <w:bCs/>
                <w:sz w:val="24"/>
                <w:szCs w:val="32"/>
                <w:lang w:val="en-GB"/>
              </w:rPr>
              <w:t>6</w:t>
            </w:r>
          </w:p>
        </w:tc>
        <w:tc>
          <w:tcPr>
            <w:tcW w:w="7754" w:type="dxa"/>
          </w:tcPr>
          <w:p w:rsidR="00613B89" w:rsidRDefault="00613B89" w:rsidP="005212ED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A budget paper was handed out for the period 1</w:t>
            </w:r>
            <w:r w:rsidRPr="00613B89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October 201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>4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to 30</w:t>
            </w:r>
            <w:r w:rsidRPr="00613B89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September 2015</w:t>
            </w:r>
            <w:r w:rsidR="00EC10E1">
              <w:rPr>
                <w:rFonts w:ascii="Calibri" w:hAnsi="Calibri"/>
                <w:bCs/>
                <w:sz w:val="24"/>
                <w:szCs w:val="24"/>
                <w:lang w:val="en-GB"/>
              </w:rPr>
              <w:t>.  It was noted that all future budget years will be from the 1</w:t>
            </w:r>
            <w:r w:rsidR="00EC10E1" w:rsidRPr="00EC10E1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st</w:t>
            </w:r>
            <w:r w:rsidR="00EC10E1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October through to 30</w:t>
            </w:r>
            <w:r w:rsidR="00EC10E1" w:rsidRPr="00EC10E1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="00EC10E1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September</w:t>
            </w:r>
          </w:p>
        </w:tc>
      </w:tr>
      <w:tr w:rsidR="00E14613" w:rsidRPr="00C05945" w:rsidTr="000B137F">
        <w:tc>
          <w:tcPr>
            <w:tcW w:w="460" w:type="dxa"/>
          </w:tcPr>
          <w:p w:rsid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</w:t>
            </w:r>
            <w:r w:rsidR="005212ED">
              <w:rPr>
                <w:rFonts w:ascii="Calibri" w:hAnsi="Calibri"/>
                <w:bCs/>
                <w:sz w:val="24"/>
                <w:szCs w:val="32"/>
                <w:lang w:val="en-GB"/>
              </w:rPr>
              <w:t>7</w:t>
            </w:r>
          </w:p>
        </w:tc>
        <w:tc>
          <w:tcPr>
            <w:tcW w:w="7754" w:type="dxa"/>
          </w:tcPr>
          <w:p w:rsidR="00E14613" w:rsidRPr="00E14613" w:rsidRDefault="00E14613" w:rsidP="00FA5C0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E14613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Noted that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>around 34%</w:t>
            </w:r>
            <w:r w:rsidR="00714D1D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of the levy collecti</w:t>
            </w:r>
            <w:r w:rsidRPr="00E14613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on had been received within the first 30/40 days however due to </w:t>
            </w:r>
            <w:r w:rsidR="00FA5C04">
              <w:rPr>
                <w:rFonts w:ascii="Calibri" w:hAnsi="Calibri"/>
                <w:bCs/>
                <w:sz w:val="24"/>
                <w:szCs w:val="24"/>
                <w:lang w:val="en-GB"/>
              </w:rPr>
              <w:t>recent uncertainties and the coverage in the local press it was noted that the rate of collection had slowed down.</w:t>
            </w:r>
          </w:p>
        </w:tc>
      </w:tr>
      <w:tr w:rsidR="00E14613" w:rsidRPr="00C05945" w:rsidTr="000B137F">
        <w:tc>
          <w:tcPr>
            <w:tcW w:w="460" w:type="dxa"/>
          </w:tcPr>
          <w:p w:rsid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</w:t>
            </w:r>
            <w:r w:rsidR="005212ED">
              <w:rPr>
                <w:rFonts w:ascii="Calibri" w:hAnsi="Calibri"/>
                <w:bCs/>
                <w:sz w:val="24"/>
                <w:szCs w:val="32"/>
                <w:lang w:val="en-GB"/>
              </w:rPr>
              <w:t>8</w:t>
            </w:r>
          </w:p>
        </w:tc>
        <w:tc>
          <w:tcPr>
            <w:tcW w:w="7754" w:type="dxa"/>
          </w:tcPr>
          <w:p w:rsidR="00E14613" w:rsidRPr="00E14613" w:rsidRDefault="00FA5C04" w:rsidP="00FA5C0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n</w:t>
            </w:r>
            <w:r w:rsidR="00E14613" w:rsidRPr="00E14613">
              <w:rPr>
                <w:rFonts w:ascii="Calibri" w:hAnsi="Calibri"/>
                <w:bCs/>
                <w:sz w:val="24"/>
                <w:szCs w:val="24"/>
                <w:lang w:val="en-GB"/>
              </w:rPr>
              <w:t>oted that we</w:t>
            </w:r>
            <w:r w:rsidR="00E14613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continue to receive appeals against inclusion in the BID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.  Members received and accepted the appeals process.</w:t>
            </w:r>
          </w:p>
        </w:tc>
      </w:tr>
      <w:tr w:rsidR="00E14613" w:rsidRPr="00C05945" w:rsidTr="000B137F">
        <w:tc>
          <w:tcPr>
            <w:tcW w:w="460" w:type="dxa"/>
          </w:tcPr>
          <w:p w:rsid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</w:t>
            </w:r>
            <w:r w:rsidR="005212ED">
              <w:rPr>
                <w:rFonts w:ascii="Calibri" w:hAnsi="Calibri"/>
                <w:bCs/>
                <w:sz w:val="24"/>
                <w:szCs w:val="32"/>
                <w:lang w:val="en-GB"/>
              </w:rPr>
              <w:t>9</w:t>
            </w:r>
          </w:p>
        </w:tc>
        <w:tc>
          <w:tcPr>
            <w:tcW w:w="7754" w:type="dxa"/>
          </w:tcPr>
          <w:p w:rsidR="00E14613" w:rsidRP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Agreed to review all 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business category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codes that are currently included in the BID in 5 years time</w:t>
            </w:r>
          </w:p>
        </w:tc>
      </w:tr>
      <w:tr w:rsidR="00E14613" w:rsidRPr="00C05945" w:rsidTr="000B137F">
        <w:tc>
          <w:tcPr>
            <w:tcW w:w="460" w:type="dxa"/>
          </w:tcPr>
          <w:p w:rsid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E14613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E14613" w:rsidRPr="000B137F" w:rsidRDefault="00E14613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</w:t>
            </w: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0B137F" w:rsidRDefault="00E14613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Constitutional Matters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6.1</w:t>
            </w:r>
          </w:p>
        </w:tc>
        <w:tc>
          <w:tcPr>
            <w:tcW w:w="7754" w:type="dxa"/>
          </w:tcPr>
          <w:p w:rsidR="00C05945" w:rsidRPr="00FA5C04" w:rsidRDefault="00FA5C04" w:rsidP="006C10F7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Members discussed a Members’ Charter which subject to mi</w:t>
            </w:r>
            <w:r w:rsidR="005212ED">
              <w:rPr>
                <w:rFonts w:ascii="Calibri" w:hAnsi="Calibri"/>
                <w:sz w:val="24"/>
                <w:szCs w:val="24"/>
                <w:lang w:val="en-GB"/>
              </w:rPr>
              <w:t>nor amendments was agreed and is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attached at </w:t>
            </w:r>
            <w:r w:rsidRPr="005212ED">
              <w:rPr>
                <w:rFonts w:ascii="Calibri" w:hAnsi="Calibri"/>
                <w:i/>
                <w:sz w:val="24"/>
                <w:szCs w:val="24"/>
                <w:lang w:val="en-GB"/>
              </w:rPr>
              <w:t>Appendix A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.</w:t>
            </w:r>
            <w:r w:rsidR="006C10F7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642D5E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6.3</w:t>
            </w:r>
          </w:p>
        </w:tc>
        <w:tc>
          <w:tcPr>
            <w:tcW w:w="7754" w:type="dxa"/>
          </w:tcPr>
          <w:p w:rsidR="00C05945" w:rsidRPr="00C05945" w:rsidRDefault="005212ED" w:rsidP="005212ED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The Chairman proposed, Toni Reeve seconded and all agreed to co-opt John Potter on to the BID Board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GB"/>
              </w:rPr>
              <w:t>.</w:t>
            </w:r>
            <w:r w:rsidR="006C10F7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  <w:proofErr w:type="gramEnd"/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670F15" w:rsidRDefault="00670F15" w:rsidP="00C05945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670F15" w:rsidRPr="000B137F" w:rsidTr="000B137F">
        <w:tc>
          <w:tcPr>
            <w:tcW w:w="460" w:type="dxa"/>
          </w:tcPr>
          <w:p w:rsidR="00670F15" w:rsidRPr="000B137F" w:rsidRDefault="00670F1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7</w:t>
            </w:r>
          </w:p>
        </w:tc>
        <w:tc>
          <w:tcPr>
            <w:tcW w:w="642" w:type="dxa"/>
          </w:tcPr>
          <w:p w:rsidR="00670F15" w:rsidRPr="000B137F" w:rsidRDefault="00670F1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670F15" w:rsidRPr="000B137F" w:rsidRDefault="005212ED" w:rsidP="00C05945">
            <w:pPr>
              <w:pStyle w:val="PlainText"/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  <w:t xml:space="preserve">Marketing &amp; Events </w:t>
            </w:r>
            <w:r w:rsidR="006C10F7"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  <w:t>Bid Projects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7.1</w:t>
            </w:r>
          </w:p>
        </w:tc>
        <w:tc>
          <w:tcPr>
            <w:tcW w:w="7754" w:type="dxa"/>
          </w:tcPr>
          <w:p w:rsidR="00670F15" w:rsidRPr="00670F15" w:rsidRDefault="006C10F7" w:rsidP="005212ED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An updated 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status list of events,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marketing &amp; small projects was 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>noted and approved by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the Board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7.2</w:t>
            </w:r>
          </w:p>
        </w:tc>
        <w:tc>
          <w:tcPr>
            <w:tcW w:w="7754" w:type="dxa"/>
          </w:tcPr>
          <w:p w:rsidR="00670F15" w:rsidRPr="00670F15" w:rsidRDefault="005212ED" w:rsidP="005212ED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Members received and agreed with the specification to appoint a </w:t>
            </w:r>
            <w:r w:rsidR="006C10F7">
              <w:rPr>
                <w:rFonts w:ascii="Calibri" w:hAnsi="Calibri"/>
                <w:bCs/>
                <w:sz w:val="24"/>
                <w:szCs w:val="24"/>
                <w:lang w:val="en-GB"/>
              </w:rPr>
              <w:t>new marketing/PR position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670F15" w:rsidRDefault="00670F15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670F15" w:rsidRPr="00C05945" w:rsidTr="000B137F">
        <w:tc>
          <w:tcPr>
            <w:tcW w:w="460" w:type="dxa"/>
          </w:tcPr>
          <w:p w:rsidR="00670F15" w:rsidRPr="00714D1D" w:rsidRDefault="00670F1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8</w:t>
            </w:r>
          </w:p>
        </w:tc>
        <w:tc>
          <w:tcPr>
            <w:tcW w:w="642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670F15" w:rsidRPr="00714D1D" w:rsidRDefault="006C10F7" w:rsidP="006C10F7">
            <w:pPr>
              <w:pStyle w:val="PlainText"/>
              <w:rPr>
                <w:rFonts w:ascii="Calibri" w:hAnsi="Calibri"/>
                <w:bCs/>
                <w:sz w:val="24"/>
                <w:szCs w:val="24"/>
                <w:u w:val="single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Facilities/Maintenance &amp; Access</w:t>
            </w:r>
            <w:r w:rsidR="005212E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 xml:space="preserve"> (FMA)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8.1</w:t>
            </w:r>
          </w:p>
        </w:tc>
        <w:tc>
          <w:tcPr>
            <w:tcW w:w="7754" w:type="dxa"/>
          </w:tcPr>
          <w:p w:rsidR="00670F15" w:rsidRPr="00833CD2" w:rsidRDefault="00833CD2" w:rsidP="006C10F7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The Chairman introduced the methodology to prioritise projects submitted with the </w:t>
            </w:r>
            <w:r w:rsidR="006C10F7">
              <w:rPr>
                <w:rFonts w:ascii="Calibri" w:hAnsi="Calibri"/>
                <w:bCs/>
                <w:sz w:val="24"/>
                <w:szCs w:val="24"/>
                <w:lang w:val="en-GB"/>
              </w:rPr>
              <w:t>FMA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category.   All projects had been scored against a set of 15 strategic priorities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8.2</w:t>
            </w:r>
          </w:p>
        </w:tc>
        <w:tc>
          <w:tcPr>
            <w:tcW w:w="7754" w:type="dxa"/>
          </w:tcPr>
          <w:p w:rsidR="00670F15" w:rsidRPr="00833CD2" w:rsidRDefault="00833CD2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Following a brief introduction to each project Board members were invited to score each project from ‘5’ – top priority to ‘1’ – low priority.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8.3</w:t>
            </w:r>
          </w:p>
        </w:tc>
        <w:tc>
          <w:tcPr>
            <w:tcW w:w="7754" w:type="dxa"/>
          </w:tcPr>
          <w:p w:rsidR="00670F15" w:rsidRPr="00833CD2" w:rsidRDefault="00833CD2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The final ranking would be determined by multiplying the total strategic score with the Board priority score. </w:t>
            </w:r>
          </w:p>
        </w:tc>
      </w:tr>
      <w:tr w:rsidR="00833AE7" w:rsidRPr="00C05945" w:rsidTr="000B137F">
        <w:tc>
          <w:tcPr>
            <w:tcW w:w="460" w:type="dxa"/>
          </w:tcPr>
          <w:p w:rsidR="00833AE7" w:rsidRDefault="00833AE7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AE7" w:rsidRDefault="00833AE7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8.4</w:t>
            </w:r>
          </w:p>
        </w:tc>
        <w:tc>
          <w:tcPr>
            <w:tcW w:w="7754" w:type="dxa"/>
          </w:tcPr>
          <w:p w:rsidR="00833AE7" w:rsidRPr="00833AE7" w:rsidRDefault="00833AE7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833AE7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It was agreed to defer projects 3.03 Walk of Fame and 3.04 Upgraded </w:t>
            </w:r>
            <w:r w:rsidRPr="00833AE7">
              <w:rPr>
                <w:rFonts w:ascii="Calibri" w:hAnsi="Calibri"/>
                <w:bCs/>
                <w:sz w:val="24"/>
                <w:szCs w:val="24"/>
                <w:lang w:val="en-GB"/>
              </w:rPr>
              <w:lastRenderedPageBreak/>
              <w:t>seafront gardens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and to approve radio/</w:t>
            </w:r>
            <w:r w:rsidR="000D4850">
              <w:rPr>
                <w:rFonts w:ascii="Calibri" w:hAnsi="Calibri"/>
                <w:bCs/>
                <w:sz w:val="24"/>
                <w:szCs w:val="24"/>
                <w:lang w:val="en-GB"/>
              </w:rPr>
              <w:t>CCTV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application.</w:t>
            </w:r>
          </w:p>
        </w:tc>
      </w:tr>
      <w:tr w:rsidR="00FA5C04" w:rsidRPr="00C05945" w:rsidTr="000B137F">
        <w:tc>
          <w:tcPr>
            <w:tcW w:w="460" w:type="dxa"/>
          </w:tcPr>
          <w:p w:rsidR="00FA5C04" w:rsidRDefault="00FA5C0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FA5C04" w:rsidRDefault="00FA5C0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8.5</w:t>
            </w:r>
          </w:p>
        </w:tc>
        <w:tc>
          <w:tcPr>
            <w:tcW w:w="7754" w:type="dxa"/>
          </w:tcPr>
          <w:p w:rsidR="00FA5C04" w:rsidRPr="006A6F99" w:rsidRDefault="006A6F99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6A6F9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Outcome of the scoring attached at </w:t>
            </w:r>
            <w:r w:rsidRPr="005212ED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Appendix B</w:t>
            </w:r>
          </w:p>
        </w:tc>
      </w:tr>
      <w:tr w:rsidR="00833AE7" w:rsidRPr="00C05945" w:rsidTr="000B137F">
        <w:tc>
          <w:tcPr>
            <w:tcW w:w="460" w:type="dxa"/>
          </w:tcPr>
          <w:p w:rsidR="00833AE7" w:rsidRDefault="00833AE7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AE7" w:rsidRDefault="00833AE7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833AE7" w:rsidRPr="009157C4" w:rsidRDefault="00833AE7" w:rsidP="00833CD2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33CD2" w:rsidRPr="00C05945" w:rsidTr="000B137F">
        <w:tc>
          <w:tcPr>
            <w:tcW w:w="460" w:type="dxa"/>
          </w:tcPr>
          <w:p w:rsidR="00833CD2" w:rsidRPr="00714D1D" w:rsidRDefault="00714D1D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9</w:t>
            </w: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833CD2" w:rsidRPr="00714D1D" w:rsidRDefault="00833AE7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u w:val="single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Output Groups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9.1</w:t>
            </w:r>
          </w:p>
        </w:tc>
        <w:tc>
          <w:tcPr>
            <w:tcW w:w="7754" w:type="dxa"/>
          </w:tcPr>
          <w:p w:rsidR="00833CD2" w:rsidRDefault="00833AE7" w:rsidP="005212ED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The terms of reference for the output </w:t>
            </w:r>
            <w:r w:rsidR="00BC0A9C">
              <w:rPr>
                <w:rFonts w:ascii="Calibri" w:hAnsi="Calibri"/>
                <w:bCs/>
                <w:sz w:val="24"/>
                <w:szCs w:val="24"/>
                <w:lang w:val="en-GB"/>
              </w:rPr>
              <w:t>groups were shown to the Board (attached</w:t>
            </w:r>
            <w:r w:rsidR="000D4850">
              <w:rPr>
                <w:rFonts w:ascii="Calibri" w:hAnsi="Calibri"/>
                <w:bCs/>
                <w:sz w:val="24"/>
                <w:szCs w:val="24"/>
                <w:lang w:val="en-GB"/>
              </w:rPr>
              <w:t>) It</w:t>
            </w:r>
            <w:r w:rsidR="00BC0A9C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was agreed that the terms were a broad reference and </w:t>
            </w:r>
            <w:r w:rsidR="005212ED">
              <w:rPr>
                <w:rFonts w:ascii="Calibri" w:hAnsi="Calibri"/>
                <w:bCs/>
                <w:sz w:val="24"/>
                <w:szCs w:val="24"/>
                <w:lang w:val="en-GB"/>
              </w:rPr>
              <w:t>may</w:t>
            </w:r>
            <w:r w:rsidR="00BC0A9C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need tweaking for each group.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9.1</w:t>
            </w:r>
          </w:p>
        </w:tc>
        <w:tc>
          <w:tcPr>
            <w:tcW w:w="7754" w:type="dxa"/>
          </w:tcPr>
          <w:p w:rsidR="00833CD2" w:rsidRPr="00833CD2" w:rsidRDefault="00BC0A9C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Agreed that Ken Sims to chair Marketing, Lyndon Bevan to chair the Events Group and Gareth Brown to chair FMA group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833CD2" w:rsidRDefault="00833CD2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833CD2" w:rsidRPr="000B137F" w:rsidTr="000B137F">
        <w:tc>
          <w:tcPr>
            <w:tcW w:w="460" w:type="dxa"/>
          </w:tcPr>
          <w:p w:rsidR="00833CD2" w:rsidRPr="000B137F" w:rsidRDefault="00833CD2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10</w:t>
            </w:r>
          </w:p>
        </w:tc>
        <w:tc>
          <w:tcPr>
            <w:tcW w:w="642" w:type="dxa"/>
          </w:tcPr>
          <w:p w:rsidR="00833CD2" w:rsidRPr="000B137F" w:rsidRDefault="00833CD2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833CD2" w:rsidRPr="00714D1D" w:rsidRDefault="00BC0A9C" w:rsidP="00833CD2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Communications Strategy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10.1</w:t>
            </w:r>
          </w:p>
        </w:tc>
        <w:tc>
          <w:tcPr>
            <w:tcW w:w="7754" w:type="dxa"/>
          </w:tcPr>
          <w:p w:rsidR="00833CD2" w:rsidRDefault="005212ED" w:rsidP="005212ED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The </w:t>
            </w:r>
            <w:r w:rsidR="00BC0A9C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Board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received and approved</w:t>
            </w:r>
            <w:r w:rsidR="006A6F9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</w:t>
            </w:r>
            <w:r w:rsidR="00BC0A9C">
              <w:rPr>
                <w:rFonts w:ascii="Calibri" w:hAnsi="Calibri"/>
                <w:bCs/>
                <w:sz w:val="24"/>
                <w:szCs w:val="24"/>
                <w:lang w:val="en-GB"/>
              </w:rPr>
              <w:t>the communications strategy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0B137F" w:rsidRPr="00C05945" w:rsidTr="000B137F">
        <w:tc>
          <w:tcPr>
            <w:tcW w:w="460" w:type="dxa"/>
          </w:tcPr>
          <w:p w:rsidR="000B137F" w:rsidRPr="00714D1D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11</w:t>
            </w: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Pr="00714D1D" w:rsidRDefault="00BC0A9C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u w:val="single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Annual Tourism &amp; Business Lunch/Awards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11.1</w:t>
            </w:r>
          </w:p>
        </w:tc>
        <w:tc>
          <w:tcPr>
            <w:tcW w:w="7754" w:type="dxa"/>
          </w:tcPr>
          <w:p w:rsidR="000B137F" w:rsidRPr="000B137F" w:rsidRDefault="00BC0A9C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The change of date to the 21</w:t>
            </w:r>
            <w:r w:rsidRPr="00BC0A9C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May was agreed by the Board.  Agreed to review the date for 2016.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P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0B137F" w:rsidRPr="000B137F" w:rsidTr="000B137F">
        <w:tc>
          <w:tcPr>
            <w:tcW w:w="460" w:type="dxa"/>
          </w:tcPr>
          <w:p w:rsidR="000B137F" w:rsidRPr="000B137F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12</w:t>
            </w:r>
          </w:p>
        </w:tc>
        <w:tc>
          <w:tcPr>
            <w:tcW w:w="642" w:type="dxa"/>
          </w:tcPr>
          <w:p w:rsidR="000B137F" w:rsidRPr="000B137F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Pr="00714D1D" w:rsidRDefault="00BC0A9C" w:rsidP="00833CD2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Annual Meetings Programme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12.1</w:t>
            </w:r>
          </w:p>
        </w:tc>
        <w:tc>
          <w:tcPr>
            <w:tcW w:w="7754" w:type="dxa"/>
          </w:tcPr>
          <w:p w:rsidR="000B137F" w:rsidRDefault="00BC0A9C" w:rsidP="006A6F99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The Board </w:t>
            </w:r>
            <w:r w:rsidR="006A6F99">
              <w:rPr>
                <w:rFonts w:ascii="Calibri" w:hAnsi="Calibri"/>
                <w:bCs/>
                <w:sz w:val="24"/>
                <w:szCs w:val="24"/>
                <w:lang w:val="en-GB"/>
              </w:rPr>
              <w:t>noted the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annual meetings calendar.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0B137F" w:rsidRPr="000B137F" w:rsidTr="000B137F">
        <w:tc>
          <w:tcPr>
            <w:tcW w:w="460" w:type="dxa"/>
          </w:tcPr>
          <w:p w:rsidR="000B137F" w:rsidRPr="000B137F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13</w:t>
            </w:r>
          </w:p>
        </w:tc>
        <w:tc>
          <w:tcPr>
            <w:tcW w:w="642" w:type="dxa"/>
          </w:tcPr>
          <w:p w:rsidR="000B137F" w:rsidRPr="000B137F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Pr="00714D1D" w:rsidRDefault="00BC0A9C" w:rsidP="00833CD2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Items for next meeting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13.1</w:t>
            </w:r>
          </w:p>
        </w:tc>
        <w:tc>
          <w:tcPr>
            <w:tcW w:w="7754" w:type="dxa"/>
          </w:tcPr>
          <w:p w:rsidR="000B137F" w:rsidRDefault="004563B2" w:rsidP="000B137F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Di</w:t>
            </w:r>
            <w:r w:rsidR="00BC0A9C">
              <w:rPr>
                <w:rFonts w:ascii="Calibri" w:hAnsi="Calibri"/>
                <w:bCs/>
                <w:sz w:val="24"/>
                <w:szCs w:val="24"/>
                <w:lang w:val="en-GB"/>
              </w:rPr>
              <w:t>scussion about necessity of Board to discuss all planning issues.</w:t>
            </w:r>
          </w:p>
        </w:tc>
      </w:tr>
      <w:tr w:rsidR="00BC0A9C" w:rsidRPr="00C05945" w:rsidTr="000B137F">
        <w:tc>
          <w:tcPr>
            <w:tcW w:w="460" w:type="dxa"/>
          </w:tcPr>
          <w:p w:rsidR="00BC0A9C" w:rsidRDefault="00BC0A9C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BC0A9C" w:rsidRDefault="004563B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13.2</w:t>
            </w:r>
          </w:p>
        </w:tc>
        <w:tc>
          <w:tcPr>
            <w:tcW w:w="7754" w:type="dxa"/>
          </w:tcPr>
          <w:p w:rsidR="00BC0A9C" w:rsidRDefault="006A6F99" w:rsidP="006A6F99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agreed to defer the item on r</w:t>
            </w:r>
            <w:r w:rsidR="004563B2">
              <w:rPr>
                <w:rFonts w:ascii="Calibri" w:hAnsi="Calibri"/>
                <w:bCs/>
                <w:sz w:val="24"/>
                <w:szCs w:val="24"/>
                <w:lang w:val="en-GB"/>
              </w:rPr>
              <w:t>epresentation on outside organisations</w:t>
            </w:r>
          </w:p>
        </w:tc>
      </w:tr>
      <w:tr w:rsidR="004563B2" w:rsidRPr="00C05945" w:rsidTr="000B137F">
        <w:tc>
          <w:tcPr>
            <w:tcW w:w="460" w:type="dxa"/>
          </w:tcPr>
          <w:p w:rsidR="004563B2" w:rsidRDefault="004563B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4563B2" w:rsidRDefault="004563B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4563B2" w:rsidRDefault="004563B2" w:rsidP="000B137F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4563B2" w:rsidRPr="00C05945" w:rsidTr="000B137F">
        <w:tc>
          <w:tcPr>
            <w:tcW w:w="460" w:type="dxa"/>
          </w:tcPr>
          <w:p w:rsidR="004563B2" w:rsidRPr="00714D1D" w:rsidRDefault="004563B2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14</w:t>
            </w:r>
          </w:p>
        </w:tc>
        <w:tc>
          <w:tcPr>
            <w:tcW w:w="642" w:type="dxa"/>
          </w:tcPr>
          <w:p w:rsidR="004563B2" w:rsidRDefault="004563B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4563B2" w:rsidRPr="00714D1D" w:rsidRDefault="004563B2" w:rsidP="000B137F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714D1D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AOB</w:t>
            </w:r>
          </w:p>
        </w:tc>
      </w:tr>
      <w:tr w:rsidR="004563B2" w:rsidRPr="00C05945" w:rsidTr="000B137F">
        <w:tc>
          <w:tcPr>
            <w:tcW w:w="460" w:type="dxa"/>
          </w:tcPr>
          <w:p w:rsidR="004563B2" w:rsidRDefault="004563B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4563B2" w:rsidRDefault="004563B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14.1</w:t>
            </w:r>
          </w:p>
        </w:tc>
        <w:tc>
          <w:tcPr>
            <w:tcW w:w="7754" w:type="dxa"/>
          </w:tcPr>
          <w:p w:rsidR="004563B2" w:rsidRDefault="004563B2" w:rsidP="000B137F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Noted that </w:t>
            </w:r>
            <w:r w:rsidR="006A6F9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college are keen to put forward work experience students for building &amp; gardening projects.</w:t>
            </w:r>
          </w:p>
        </w:tc>
      </w:tr>
      <w:tr w:rsidR="004563B2" w:rsidRPr="00C05945" w:rsidTr="000B137F">
        <w:tc>
          <w:tcPr>
            <w:tcW w:w="460" w:type="dxa"/>
          </w:tcPr>
          <w:p w:rsidR="004563B2" w:rsidRDefault="004563B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4563B2" w:rsidRDefault="004563B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14.2</w:t>
            </w:r>
          </w:p>
        </w:tc>
        <w:tc>
          <w:tcPr>
            <w:tcW w:w="7754" w:type="dxa"/>
          </w:tcPr>
          <w:p w:rsidR="004563B2" w:rsidRDefault="00D259C2" w:rsidP="000B137F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PIP’s</w:t>
            </w:r>
            <w:r w:rsidR="000F35C6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licence has been extended from the 1</w:t>
            </w:r>
            <w:r w:rsidR="000F35C6" w:rsidRPr="000F35C6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st</w:t>
            </w:r>
            <w:r w:rsidR="000F35C6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April 2015 to the 31</w:t>
            </w:r>
            <w:r w:rsidR="000F35C6" w:rsidRPr="000F35C6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st</w:t>
            </w:r>
            <w:r w:rsidR="000F35C6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October 2015.  GYTABIA own the columns and will work with H2 Creative Media to provide the service.  </w:t>
            </w:r>
            <w:r w:rsidR="006A6F99">
              <w:rPr>
                <w:rFonts w:ascii="Calibri" w:hAnsi="Calibri"/>
                <w:bCs/>
                <w:sz w:val="24"/>
                <w:szCs w:val="24"/>
                <w:lang w:val="en-GB"/>
              </w:rPr>
              <w:t>It is anticipated that the new tender documents would be published shortly by GYBC.</w:t>
            </w:r>
          </w:p>
        </w:tc>
      </w:tr>
      <w:tr w:rsidR="00D259C2" w:rsidRPr="00C05945" w:rsidTr="000B137F">
        <w:tc>
          <w:tcPr>
            <w:tcW w:w="460" w:type="dxa"/>
          </w:tcPr>
          <w:p w:rsidR="00D259C2" w:rsidRDefault="00D259C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D259C2" w:rsidRDefault="000F35C6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14.3</w:t>
            </w:r>
          </w:p>
        </w:tc>
        <w:tc>
          <w:tcPr>
            <w:tcW w:w="7754" w:type="dxa"/>
          </w:tcPr>
          <w:p w:rsidR="00D259C2" w:rsidRDefault="000F35C6" w:rsidP="00E009D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The Board were informed that the Salisbury Road toilets will be closed as from the 31</w:t>
            </w:r>
            <w:r w:rsidRPr="000F35C6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March 2015.  A number of public </w:t>
            </w:r>
            <w:r w:rsidR="000D4850">
              <w:rPr>
                <w:rFonts w:ascii="Calibri" w:hAnsi="Calibri"/>
                <w:bCs/>
                <w:sz w:val="24"/>
                <w:szCs w:val="24"/>
                <w:lang w:val="en-GB"/>
              </w:rPr>
              <w:t>toilets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in the borough will have their funding withdrawn which includes Alpha Road and Quayside in Gorleston</w:t>
            </w:r>
          </w:p>
        </w:tc>
      </w:tr>
      <w:tr w:rsidR="000F35C6" w:rsidRPr="00C05945" w:rsidTr="000B137F">
        <w:tc>
          <w:tcPr>
            <w:tcW w:w="460" w:type="dxa"/>
          </w:tcPr>
          <w:p w:rsidR="000F35C6" w:rsidRDefault="000F35C6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F35C6" w:rsidRDefault="000F35C6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14.4</w:t>
            </w:r>
          </w:p>
        </w:tc>
        <w:tc>
          <w:tcPr>
            <w:tcW w:w="7754" w:type="dxa"/>
          </w:tcPr>
          <w:p w:rsidR="000F35C6" w:rsidRDefault="000F35C6" w:rsidP="000B137F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The Board were informed that car park charges would be increasing by 50p for a half and £1 for a full day.  Compared to other resorts this is not as expensive.</w:t>
            </w:r>
          </w:p>
        </w:tc>
      </w:tr>
      <w:tr w:rsidR="000F35C6" w:rsidRPr="00C05945" w:rsidTr="000B137F">
        <w:tc>
          <w:tcPr>
            <w:tcW w:w="460" w:type="dxa"/>
          </w:tcPr>
          <w:p w:rsidR="000F35C6" w:rsidRDefault="000F35C6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F35C6" w:rsidRDefault="000F35C6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14.5</w:t>
            </w:r>
          </w:p>
        </w:tc>
        <w:tc>
          <w:tcPr>
            <w:tcW w:w="7754" w:type="dxa"/>
          </w:tcPr>
          <w:p w:rsidR="000F35C6" w:rsidRDefault="000F35C6" w:rsidP="000B137F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Board informed that the Maritime House building maybe closed for tourism use.  It was generally agreed that the tourism team were much better placed on the seafront.</w:t>
            </w:r>
          </w:p>
        </w:tc>
      </w:tr>
    </w:tbl>
    <w:p w:rsidR="009157C4" w:rsidRDefault="009157C4" w:rsidP="002C3C74">
      <w:pPr>
        <w:rPr>
          <w:bCs/>
          <w:sz w:val="24"/>
          <w:szCs w:val="24"/>
          <w:lang w:val="en-GB"/>
        </w:rPr>
      </w:pPr>
    </w:p>
    <w:p w:rsidR="002C3C74" w:rsidRDefault="002C3C74" w:rsidP="002C3C74">
      <w:pPr>
        <w:rPr>
          <w:bCs/>
          <w:sz w:val="24"/>
          <w:szCs w:val="24"/>
          <w:lang w:val="en-GB"/>
        </w:rPr>
      </w:pPr>
    </w:p>
    <w:sectPr w:rsidR="002C3C74" w:rsidSect="00D47A16">
      <w:footerReference w:type="default" r:id="rId9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ED" w:rsidRDefault="005212ED" w:rsidP="00D47A16">
      <w:r>
        <w:separator/>
      </w:r>
    </w:p>
  </w:endnote>
  <w:endnote w:type="continuationSeparator" w:id="0">
    <w:p w:rsidR="005212ED" w:rsidRDefault="005212ED" w:rsidP="00D4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58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12ED" w:rsidRDefault="00EA7D0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C7603" w:rsidRPr="00FC7603">
            <w:rPr>
              <w:b/>
              <w:noProof/>
            </w:rPr>
            <w:t>1</w:t>
          </w:r>
        </w:fldSimple>
        <w:r w:rsidR="005212ED">
          <w:rPr>
            <w:b/>
          </w:rPr>
          <w:t xml:space="preserve"> | </w:t>
        </w:r>
        <w:r w:rsidR="005212ED">
          <w:rPr>
            <w:color w:val="7F7F7F" w:themeColor="background1" w:themeShade="7F"/>
            <w:spacing w:val="60"/>
          </w:rPr>
          <w:t>Page</w:t>
        </w:r>
      </w:p>
    </w:sdtContent>
  </w:sdt>
  <w:p w:rsidR="005212ED" w:rsidRDefault="00521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ED" w:rsidRDefault="005212ED" w:rsidP="00D47A16">
      <w:r>
        <w:separator/>
      </w:r>
    </w:p>
  </w:footnote>
  <w:footnote w:type="continuationSeparator" w:id="0">
    <w:p w:rsidR="005212ED" w:rsidRDefault="005212ED" w:rsidP="00D47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9FB"/>
    <w:multiLevelType w:val="multilevel"/>
    <w:tmpl w:val="2A3EE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F471BF"/>
    <w:multiLevelType w:val="hybridMultilevel"/>
    <w:tmpl w:val="0A20A8A0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418"/>
    <w:multiLevelType w:val="hybridMultilevel"/>
    <w:tmpl w:val="0180C4FC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A57E8"/>
    <w:multiLevelType w:val="multilevel"/>
    <w:tmpl w:val="7584D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176FB6"/>
    <w:multiLevelType w:val="multilevel"/>
    <w:tmpl w:val="EEFCC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9472A2"/>
    <w:multiLevelType w:val="multilevel"/>
    <w:tmpl w:val="249A7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220B23"/>
    <w:multiLevelType w:val="hybridMultilevel"/>
    <w:tmpl w:val="544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42EC"/>
    <w:multiLevelType w:val="hybridMultilevel"/>
    <w:tmpl w:val="0FBA97E4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A1309"/>
    <w:multiLevelType w:val="hybridMultilevel"/>
    <w:tmpl w:val="0C661B52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E459B"/>
    <w:multiLevelType w:val="multilevel"/>
    <w:tmpl w:val="1006F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1343DB"/>
    <w:multiLevelType w:val="hybridMultilevel"/>
    <w:tmpl w:val="EB1AD778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633BB"/>
    <w:multiLevelType w:val="hybridMultilevel"/>
    <w:tmpl w:val="B450E0B2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71374"/>
    <w:multiLevelType w:val="hybridMultilevel"/>
    <w:tmpl w:val="C52A64E0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D4"/>
    <w:rsid w:val="00014F91"/>
    <w:rsid w:val="00020AAA"/>
    <w:rsid w:val="00021ACA"/>
    <w:rsid w:val="00042CE0"/>
    <w:rsid w:val="00043461"/>
    <w:rsid w:val="0004387E"/>
    <w:rsid w:val="00053724"/>
    <w:rsid w:val="00054253"/>
    <w:rsid w:val="00056038"/>
    <w:rsid w:val="000563D1"/>
    <w:rsid w:val="00061D5F"/>
    <w:rsid w:val="00072D82"/>
    <w:rsid w:val="00074B4A"/>
    <w:rsid w:val="000769BD"/>
    <w:rsid w:val="000806F5"/>
    <w:rsid w:val="000817B5"/>
    <w:rsid w:val="000913F3"/>
    <w:rsid w:val="00091771"/>
    <w:rsid w:val="00093ED1"/>
    <w:rsid w:val="000A0701"/>
    <w:rsid w:val="000A085C"/>
    <w:rsid w:val="000A1B33"/>
    <w:rsid w:val="000A4CEF"/>
    <w:rsid w:val="000B137F"/>
    <w:rsid w:val="000D0337"/>
    <w:rsid w:val="000D2CF0"/>
    <w:rsid w:val="000D4850"/>
    <w:rsid w:val="000F080E"/>
    <w:rsid w:val="000F35C6"/>
    <w:rsid w:val="00100FD6"/>
    <w:rsid w:val="001137C4"/>
    <w:rsid w:val="001138BC"/>
    <w:rsid w:val="0011482B"/>
    <w:rsid w:val="001236AF"/>
    <w:rsid w:val="00124496"/>
    <w:rsid w:val="00125168"/>
    <w:rsid w:val="00130C34"/>
    <w:rsid w:val="00132A3E"/>
    <w:rsid w:val="00141CCB"/>
    <w:rsid w:val="00143901"/>
    <w:rsid w:val="00145520"/>
    <w:rsid w:val="00154B86"/>
    <w:rsid w:val="00162F96"/>
    <w:rsid w:val="00164DD5"/>
    <w:rsid w:val="0017517D"/>
    <w:rsid w:val="001952B9"/>
    <w:rsid w:val="00195708"/>
    <w:rsid w:val="001A0AB4"/>
    <w:rsid w:val="001B0388"/>
    <w:rsid w:val="001B73C4"/>
    <w:rsid w:val="001C7FDF"/>
    <w:rsid w:val="001D08D7"/>
    <w:rsid w:val="001D4E2F"/>
    <w:rsid w:val="001E2CB0"/>
    <w:rsid w:val="001F4EB0"/>
    <w:rsid w:val="001F54AC"/>
    <w:rsid w:val="001F54C1"/>
    <w:rsid w:val="002069C5"/>
    <w:rsid w:val="00213908"/>
    <w:rsid w:val="00215F4C"/>
    <w:rsid w:val="00216FAC"/>
    <w:rsid w:val="002236E3"/>
    <w:rsid w:val="00224879"/>
    <w:rsid w:val="00237A85"/>
    <w:rsid w:val="002445CA"/>
    <w:rsid w:val="002449EA"/>
    <w:rsid w:val="00251EB5"/>
    <w:rsid w:val="00261E47"/>
    <w:rsid w:val="00276126"/>
    <w:rsid w:val="00277D06"/>
    <w:rsid w:val="00277E08"/>
    <w:rsid w:val="002979E1"/>
    <w:rsid w:val="002B5037"/>
    <w:rsid w:val="002B52D0"/>
    <w:rsid w:val="002C1BDD"/>
    <w:rsid w:val="002C2133"/>
    <w:rsid w:val="002C3C74"/>
    <w:rsid w:val="002C7B51"/>
    <w:rsid w:val="002D19A7"/>
    <w:rsid w:val="002D26A9"/>
    <w:rsid w:val="002D4CC9"/>
    <w:rsid w:val="002D7F32"/>
    <w:rsid w:val="002E1175"/>
    <w:rsid w:val="002E4519"/>
    <w:rsid w:val="002E5DCE"/>
    <w:rsid w:val="002E694A"/>
    <w:rsid w:val="00302AD6"/>
    <w:rsid w:val="003129DE"/>
    <w:rsid w:val="00320347"/>
    <w:rsid w:val="00327B9A"/>
    <w:rsid w:val="00343484"/>
    <w:rsid w:val="00353743"/>
    <w:rsid w:val="00370713"/>
    <w:rsid w:val="00377913"/>
    <w:rsid w:val="003833BE"/>
    <w:rsid w:val="00387402"/>
    <w:rsid w:val="003914C8"/>
    <w:rsid w:val="003918F7"/>
    <w:rsid w:val="003A56D5"/>
    <w:rsid w:val="003B62BC"/>
    <w:rsid w:val="003C1802"/>
    <w:rsid w:val="003C206C"/>
    <w:rsid w:val="003E5296"/>
    <w:rsid w:val="003E627B"/>
    <w:rsid w:val="003F2577"/>
    <w:rsid w:val="003F3C75"/>
    <w:rsid w:val="003F44FA"/>
    <w:rsid w:val="00415E9B"/>
    <w:rsid w:val="0041695D"/>
    <w:rsid w:val="0042118F"/>
    <w:rsid w:val="004231EA"/>
    <w:rsid w:val="004563B2"/>
    <w:rsid w:val="00457155"/>
    <w:rsid w:val="00461B7C"/>
    <w:rsid w:val="00462892"/>
    <w:rsid w:val="00470B6A"/>
    <w:rsid w:val="004A2588"/>
    <w:rsid w:val="004A5760"/>
    <w:rsid w:val="004C4742"/>
    <w:rsid w:val="004C6D33"/>
    <w:rsid w:val="004E6410"/>
    <w:rsid w:val="004F4C13"/>
    <w:rsid w:val="004F74A5"/>
    <w:rsid w:val="0050276A"/>
    <w:rsid w:val="005049F2"/>
    <w:rsid w:val="00511B4A"/>
    <w:rsid w:val="00520642"/>
    <w:rsid w:val="005212ED"/>
    <w:rsid w:val="0052561C"/>
    <w:rsid w:val="00527191"/>
    <w:rsid w:val="0054003E"/>
    <w:rsid w:val="00553F6F"/>
    <w:rsid w:val="00554E66"/>
    <w:rsid w:val="00572295"/>
    <w:rsid w:val="00581FEE"/>
    <w:rsid w:val="005917C9"/>
    <w:rsid w:val="00592C85"/>
    <w:rsid w:val="005A0266"/>
    <w:rsid w:val="005A6633"/>
    <w:rsid w:val="005B41B0"/>
    <w:rsid w:val="005B6530"/>
    <w:rsid w:val="005C5D96"/>
    <w:rsid w:val="005D64FF"/>
    <w:rsid w:val="005E19C9"/>
    <w:rsid w:val="005E7F59"/>
    <w:rsid w:val="005F587F"/>
    <w:rsid w:val="006004C1"/>
    <w:rsid w:val="00601E57"/>
    <w:rsid w:val="00606F86"/>
    <w:rsid w:val="00613B89"/>
    <w:rsid w:val="00613FC8"/>
    <w:rsid w:val="00615888"/>
    <w:rsid w:val="006166D1"/>
    <w:rsid w:val="00620E91"/>
    <w:rsid w:val="006251AD"/>
    <w:rsid w:val="00632B57"/>
    <w:rsid w:val="00633A51"/>
    <w:rsid w:val="00642D5E"/>
    <w:rsid w:val="00647C58"/>
    <w:rsid w:val="00651EC4"/>
    <w:rsid w:val="006677F8"/>
    <w:rsid w:val="00670F15"/>
    <w:rsid w:val="006811AC"/>
    <w:rsid w:val="0069037A"/>
    <w:rsid w:val="00691E28"/>
    <w:rsid w:val="0069405E"/>
    <w:rsid w:val="006945E0"/>
    <w:rsid w:val="006A6F99"/>
    <w:rsid w:val="006B7378"/>
    <w:rsid w:val="006C10F7"/>
    <w:rsid w:val="006C284E"/>
    <w:rsid w:val="006F3FCE"/>
    <w:rsid w:val="006F4CEB"/>
    <w:rsid w:val="006F584F"/>
    <w:rsid w:val="006F7425"/>
    <w:rsid w:val="006F7C88"/>
    <w:rsid w:val="00714D1D"/>
    <w:rsid w:val="00715D09"/>
    <w:rsid w:val="007178E3"/>
    <w:rsid w:val="00723FDC"/>
    <w:rsid w:val="00745145"/>
    <w:rsid w:val="007634D4"/>
    <w:rsid w:val="00764FE8"/>
    <w:rsid w:val="00771384"/>
    <w:rsid w:val="0077724A"/>
    <w:rsid w:val="00795271"/>
    <w:rsid w:val="00795C57"/>
    <w:rsid w:val="007B55AE"/>
    <w:rsid w:val="007F0AA1"/>
    <w:rsid w:val="007F64DF"/>
    <w:rsid w:val="00807B4D"/>
    <w:rsid w:val="008128F4"/>
    <w:rsid w:val="00821177"/>
    <w:rsid w:val="008221DB"/>
    <w:rsid w:val="00833AE7"/>
    <w:rsid w:val="00833CD2"/>
    <w:rsid w:val="0083522C"/>
    <w:rsid w:val="008368B6"/>
    <w:rsid w:val="008368E9"/>
    <w:rsid w:val="008439C9"/>
    <w:rsid w:val="008443D8"/>
    <w:rsid w:val="00844697"/>
    <w:rsid w:val="00862D02"/>
    <w:rsid w:val="00871A30"/>
    <w:rsid w:val="008B7E29"/>
    <w:rsid w:val="008D1F26"/>
    <w:rsid w:val="008D239B"/>
    <w:rsid w:val="008D4AA7"/>
    <w:rsid w:val="008D7891"/>
    <w:rsid w:val="008E2D55"/>
    <w:rsid w:val="008E2F2E"/>
    <w:rsid w:val="009133E0"/>
    <w:rsid w:val="009157C4"/>
    <w:rsid w:val="00924024"/>
    <w:rsid w:val="00932CCE"/>
    <w:rsid w:val="00935F16"/>
    <w:rsid w:val="009366D0"/>
    <w:rsid w:val="00944BF4"/>
    <w:rsid w:val="00950BA5"/>
    <w:rsid w:val="00962464"/>
    <w:rsid w:val="00963A10"/>
    <w:rsid w:val="0096497A"/>
    <w:rsid w:val="00973C62"/>
    <w:rsid w:val="009777AA"/>
    <w:rsid w:val="00985F30"/>
    <w:rsid w:val="00986972"/>
    <w:rsid w:val="00991D93"/>
    <w:rsid w:val="009A207B"/>
    <w:rsid w:val="009A58B7"/>
    <w:rsid w:val="009B3F94"/>
    <w:rsid w:val="009B66BA"/>
    <w:rsid w:val="009B6CD3"/>
    <w:rsid w:val="009C4A0C"/>
    <w:rsid w:val="009C5521"/>
    <w:rsid w:val="009C650D"/>
    <w:rsid w:val="009D0088"/>
    <w:rsid w:val="009D3F9A"/>
    <w:rsid w:val="009D6037"/>
    <w:rsid w:val="009E2E49"/>
    <w:rsid w:val="009F56C5"/>
    <w:rsid w:val="00A00EA3"/>
    <w:rsid w:val="00A03331"/>
    <w:rsid w:val="00A04F0B"/>
    <w:rsid w:val="00A124B8"/>
    <w:rsid w:val="00A162E5"/>
    <w:rsid w:val="00A22DA2"/>
    <w:rsid w:val="00A2388C"/>
    <w:rsid w:val="00A242E0"/>
    <w:rsid w:val="00A25ACC"/>
    <w:rsid w:val="00A32CC3"/>
    <w:rsid w:val="00A41F88"/>
    <w:rsid w:val="00A437F5"/>
    <w:rsid w:val="00A47F80"/>
    <w:rsid w:val="00A532D0"/>
    <w:rsid w:val="00A77B67"/>
    <w:rsid w:val="00A832A6"/>
    <w:rsid w:val="00A85950"/>
    <w:rsid w:val="00AA0AF8"/>
    <w:rsid w:val="00AB0A96"/>
    <w:rsid w:val="00AD23C2"/>
    <w:rsid w:val="00AD6582"/>
    <w:rsid w:val="00AE185B"/>
    <w:rsid w:val="00AF688D"/>
    <w:rsid w:val="00B01652"/>
    <w:rsid w:val="00B03182"/>
    <w:rsid w:val="00B06B81"/>
    <w:rsid w:val="00B104BC"/>
    <w:rsid w:val="00B163B4"/>
    <w:rsid w:val="00B30343"/>
    <w:rsid w:val="00B4351D"/>
    <w:rsid w:val="00B44B85"/>
    <w:rsid w:val="00B51ED3"/>
    <w:rsid w:val="00B536B1"/>
    <w:rsid w:val="00B7397D"/>
    <w:rsid w:val="00B80F88"/>
    <w:rsid w:val="00B93CFA"/>
    <w:rsid w:val="00BA2536"/>
    <w:rsid w:val="00BA2BF1"/>
    <w:rsid w:val="00BA5B92"/>
    <w:rsid w:val="00BB4DA7"/>
    <w:rsid w:val="00BB5508"/>
    <w:rsid w:val="00BC0A9C"/>
    <w:rsid w:val="00BC3D25"/>
    <w:rsid w:val="00BD3471"/>
    <w:rsid w:val="00BE6A71"/>
    <w:rsid w:val="00BF4501"/>
    <w:rsid w:val="00C022EC"/>
    <w:rsid w:val="00C05945"/>
    <w:rsid w:val="00C1337C"/>
    <w:rsid w:val="00C20B50"/>
    <w:rsid w:val="00C23BA8"/>
    <w:rsid w:val="00C23FEF"/>
    <w:rsid w:val="00C33825"/>
    <w:rsid w:val="00C34AF2"/>
    <w:rsid w:val="00C411C0"/>
    <w:rsid w:val="00C45FB2"/>
    <w:rsid w:val="00C50D91"/>
    <w:rsid w:val="00C649D3"/>
    <w:rsid w:val="00C679EE"/>
    <w:rsid w:val="00C709B4"/>
    <w:rsid w:val="00C73088"/>
    <w:rsid w:val="00C77157"/>
    <w:rsid w:val="00C80541"/>
    <w:rsid w:val="00C86EEF"/>
    <w:rsid w:val="00CA2D3A"/>
    <w:rsid w:val="00CB7D7D"/>
    <w:rsid w:val="00CC0621"/>
    <w:rsid w:val="00CC0D38"/>
    <w:rsid w:val="00CD1C04"/>
    <w:rsid w:val="00CD2A66"/>
    <w:rsid w:val="00CE06D5"/>
    <w:rsid w:val="00CE4B18"/>
    <w:rsid w:val="00CF46F9"/>
    <w:rsid w:val="00D060DA"/>
    <w:rsid w:val="00D15B03"/>
    <w:rsid w:val="00D16D71"/>
    <w:rsid w:val="00D21093"/>
    <w:rsid w:val="00D23DCD"/>
    <w:rsid w:val="00D259C2"/>
    <w:rsid w:val="00D408BB"/>
    <w:rsid w:val="00D4201B"/>
    <w:rsid w:val="00D47A16"/>
    <w:rsid w:val="00D55360"/>
    <w:rsid w:val="00D55D66"/>
    <w:rsid w:val="00D55E47"/>
    <w:rsid w:val="00D76F24"/>
    <w:rsid w:val="00DA0CBB"/>
    <w:rsid w:val="00DB02D1"/>
    <w:rsid w:val="00DB2202"/>
    <w:rsid w:val="00DD024A"/>
    <w:rsid w:val="00DE2464"/>
    <w:rsid w:val="00DE307A"/>
    <w:rsid w:val="00DE3601"/>
    <w:rsid w:val="00DE7DC8"/>
    <w:rsid w:val="00DF0788"/>
    <w:rsid w:val="00E00376"/>
    <w:rsid w:val="00E009D5"/>
    <w:rsid w:val="00E14613"/>
    <w:rsid w:val="00E22260"/>
    <w:rsid w:val="00E24271"/>
    <w:rsid w:val="00E30F1F"/>
    <w:rsid w:val="00E4316C"/>
    <w:rsid w:val="00E50187"/>
    <w:rsid w:val="00E54BCF"/>
    <w:rsid w:val="00E617E6"/>
    <w:rsid w:val="00E742D1"/>
    <w:rsid w:val="00E84F69"/>
    <w:rsid w:val="00E907A0"/>
    <w:rsid w:val="00EA59C7"/>
    <w:rsid w:val="00EA7D01"/>
    <w:rsid w:val="00EB2E6E"/>
    <w:rsid w:val="00EB6082"/>
    <w:rsid w:val="00EB7E0F"/>
    <w:rsid w:val="00EC10E1"/>
    <w:rsid w:val="00ED5EAE"/>
    <w:rsid w:val="00EE5A8E"/>
    <w:rsid w:val="00EF555D"/>
    <w:rsid w:val="00EF639F"/>
    <w:rsid w:val="00F07B70"/>
    <w:rsid w:val="00F10689"/>
    <w:rsid w:val="00F11505"/>
    <w:rsid w:val="00F1513F"/>
    <w:rsid w:val="00F175B9"/>
    <w:rsid w:val="00F176BC"/>
    <w:rsid w:val="00F20DD4"/>
    <w:rsid w:val="00F333E1"/>
    <w:rsid w:val="00F401C5"/>
    <w:rsid w:val="00F406D7"/>
    <w:rsid w:val="00F41294"/>
    <w:rsid w:val="00F419A4"/>
    <w:rsid w:val="00F616D2"/>
    <w:rsid w:val="00F64407"/>
    <w:rsid w:val="00F67A06"/>
    <w:rsid w:val="00F7044C"/>
    <w:rsid w:val="00F842A2"/>
    <w:rsid w:val="00F85896"/>
    <w:rsid w:val="00FA5C04"/>
    <w:rsid w:val="00FB10ED"/>
    <w:rsid w:val="00FC635C"/>
    <w:rsid w:val="00FC7603"/>
    <w:rsid w:val="00FD7ABA"/>
    <w:rsid w:val="00FE03B4"/>
    <w:rsid w:val="00FE2C4F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333E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kern w:val="28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0D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DD4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D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7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A1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7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1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8A16-A0F4-45A6-BA90-4F6461EE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1015</Words>
  <Characters>5053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Youngs</dc:creator>
  <cp:keywords/>
  <dc:description/>
  <cp:lastModifiedBy>GYBC</cp:lastModifiedBy>
  <cp:revision>14</cp:revision>
  <cp:lastPrinted>2015-01-20T12:43:00Z</cp:lastPrinted>
  <dcterms:created xsi:type="dcterms:W3CDTF">2015-01-30T13:45:00Z</dcterms:created>
  <dcterms:modified xsi:type="dcterms:W3CDTF">2015-02-19T17:31:00Z</dcterms:modified>
</cp:coreProperties>
</file>